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djustRightInd w:val="false"/>
        <w:snapToGrid w:val="false"/>
        <w:spacing w:afterLines="50" w:lineRule="exact" w:line="500"/>
        <w:jc w:val="center"/>
        <w:rPr>
          <w:rFonts w:ascii="华文隶书" w:eastAsia="华文隶书" w:hAnsi="黑体"/>
          <w:b/>
          <w:sz w:val="52"/>
          <w:szCs w:val="32"/>
        </w:rPr>
      </w:pPr>
      <w:r>
        <w:rPr>
          <w:rFonts w:ascii="华文隶书" w:eastAsia="华文隶书" w:hAnsi="黑体" w:hint="eastAsia"/>
          <w:b/>
          <w:sz w:val="52"/>
          <w:szCs w:val="32"/>
        </w:rPr>
        <w:t>中船重工第七六</w:t>
      </w:r>
      <w:r>
        <w:rPr>
          <w:rFonts w:ascii="宋体" w:cs="宋体" w:hAnsi="宋体" w:hint="eastAsia"/>
          <w:b/>
          <w:sz w:val="52"/>
          <w:szCs w:val="32"/>
        </w:rPr>
        <w:t>〇</w:t>
      </w:r>
      <w:r>
        <w:rPr>
          <w:rFonts w:ascii="华文隶书" w:cs="华文隶书" w:eastAsia="华文隶书" w:hAnsi="华文隶书" w:hint="eastAsia"/>
          <w:b/>
          <w:sz w:val="52"/>
          <w:szCs w:val="32"/>
        </w:rPr>
        <w:t>研究所简介</w:t>
      </w:r>
    </w:p>
    <w:p>
      <w:pPr>
        <w:pStyle w:val="style0"/>
        <w:snapToGrid w:val="false"/>
        <w:spacing w:lineRule="exact" w:line="500"/>
        <w:ind w:right="-86" w:rightChars="-41" w:firstLine="482" w:firstLineChars="150"/>
        <w:jc w:val="left"/>
        <w:rPr>
          <w:rFonts w:ascii="仿宋" w:eastAsia="仿宋" w:hAnsi="仿宋"/>
          <w:b/>
          <w:sz w:val="32"/>
          <w:szCs w:val="32"/>
        </w:rPr>
      </w:pPr>
    </w:p>
    <w:p>
      <w:pPr>
        <w:pStyle w:val="style0"/>
        <w:snapToGrid w:val="false"/>
        <w:spacing w:lineRule="exact" w:line="600"/>
        <w:ind w:right="-86" w:rightChars="-41" w:firstLine="663" w:firstLineChars="15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44"/>
          <w:szCs w:val="32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-83185</wp:posOffset>
            </wp:positionH>
            <wp:positionV relativeFrom="paragraph">
              <wp:posOffset>140335</wp:posOffset>
            </wp:positionV>
            <wp:extent cx="2838450" cy="2333625"/>
            <wp:effectExtent l="19050" t="0" r="0" b="0"/>
            <wp:wrapSquare wrapText="bothSides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38450" cy="2333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sz w:val="32"/>
          <w:szCs w:val="32"/>
        </w:rPr>
        <w:t>七六Ｏ研究所本部坐落于大连市中山区老虎滩风景区内，始建于1966年</w:t>
      </w:r>
      <w:r>
        <w:rPr>
          <w:rFonts w:ascii="仿宋" w:eastAsia="仿宋" w:hAnsi="仿宋" w:hint="eastAsia"/>
          <w:b/>
          <w:sz w:val="32"/>
          <w:szCs w:val="32"/>
        </w:rPr>
        <w:t>；分部位于海南省三亚市崖州湾深海科技城，毗邻海边。我</w:t>
      </w:r>
      <w:r>
        <w:rPr>
          <w:rFonts w:ascii="仿宋" w:eastAsia="仿宋" w:hAnsi="仿宋" w:hint="eastAsia"/>
          <w:b/>
          <w:sz w:val="32"/>
          <w:szCs w:val="32"/>
        </w:rPr>
        <w:t>所拥有先进的科研试验设施和雄厚的专业技术力量，是国防科研领域</w:t>
      </w:r>
      <w:r>
        <w:rPr>
          <w:rFonts w:ascii="仿宋" w:eastAsia="仿宋" w:hAnsi="仿宋" w:hint="eastAsia"/>
          <w:b/>
          <w:sz w:val="32"/>
          <w:szCs w:val="32"/>
        </w:rPr>
        <w:t>独具</w:t>
      </w:r>
      <w:r>
        <w:rPr>
          <w:rFonts w:ascii="仿宋" w:eastAsia="仿宋" w:hAnsi="仿宋"/>
          <w:b/>
          <w:sz w:val="32"/>
          <w:szCs w:val="32"/>
        </w:rPr>
        <w:t>声学基础研究</w:t>
      </w:r>
      <w:r>
        <w:rPr>
          <w:rFonts w:ascii="仿宋" w:eastAsia="仿宋" w:hAnsi="仿宋" w:hint="eastAsia"/>
          <w:b/>
          <w:sz w:val="32"/>
          <w:szCs w:val="32"/>
        </w:rPr>
        <w:t>和</w:t>
      </w:r>
      <w:r>
        <w:rPr>
          <w:rFonts w:ascii="仿宋" w:eastAsia="仿宋" w:hAnsi="仿宋" w:hint="eastAsia"/>
          <w:b/>
          <w:sz w:val="32"/>
          <w:szCs w:val="32"/>
        </w:rPr>
        <w:t>目标试验特色</w:t>
      </w:r>
      <w:r>
        <w:rPr>
          <w:rFonts w:ascii="仿宋" w:eastAsia="仿宋" w:hAnsi="仿宋" w:hint="eastAsia"/>
          <w:b/>
          <w:sz w:val="32"/>
          <w:szCs w:val="32"/>
        </w:rPr>
        <w:t>的研究所。</w:t>
      </w:r>
    </w:p>
    <w:p>
      <w:pPr>
        <w:pStyle w:val="style0"/>
        <w:snapToGrid w:val="false"/>
        <w:spacing w:lineRule="exact" w:line="600"/>
        <w:ind w:firstLine="630" w:firstLineChars="196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所业务涵盖噪声</w:t>
      </w:r>
      <w:r>
        <w:rPr>
          <w:rFonts w:ascii="仿宋" w:eastAsia="仿宋" w:hAnsi="仿宋" w:hint="eastAsia"/>
          <w:b/>
          <w:sz w:val="32"/>
          <w:szCs w:val="32"/>
        </w:rPr>
        <w:t>检测、海洋工程测试研究、水中</w:t>
      </w:r>
      <w:r>
        <w:rPr>
          <w:rFonts w:ascii="仿宋" w:eastAsia="仿宋" w:hAnsi="仿宋"/>
          <w:b/>
          <w:sz w:val="32"/>
          <w:szCs w:val="32"/>
        </w:rPr>
        <w:t>目标研究</w:t>
      </w:r>
      <w:r>
        <w:rPr>
          <w:rFonts w:ascii="仿宋" w:eastAsia="仿宋" w:hAnsi="仿宋" w:hint="eastAsia"/>
          <w:b/>
          <w:sz w:val="32"/>
          <w:szCs w:val="32"/>
        </w:rPr>
        <w:t>、海洋应用物理研究、海洋环境研究及海上试验保障等诸多方面。拥有近万亩专用海域以及</w:t>
      </w:r>
      <w:r>
        <w:rPr>
          <w:rFonts w:ascii="仿宋" w:eastAsia="仿宋" w:hAnsi="仿宋"/>
          <w:b/>
          <w:sz w:val="32"/>
          <w:szCs w:val="32"/>
        </w:rPr>
        <w:t>十余条</w:t>
      </w:r>
      <w:r>
        <w:rPr>
          <w:rFonts w:ascii="仿宋" w:eastAsia="仿宋" w:hAnsi="仿宋" w:hint="eastAsia"/>
          <w:b/>
          <w:sz w:val="32"/>
          <w:szCs w:val="32"/>
        </w:rPr>
        <w:t>试验保障</w:t>
      </w:r>
      <w:r>
        <w:rPr>
          <w:rFonts w:ascii="仿宋" w:eastAsia="仿宋" w:hAnsi="仿宋"/>
          <w:b/>
          <w:sz w:val="32"/>
          <w:szCs w:val="32"/>
        </w:rPr>
        <w:t>船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 w:hint="eastAsia"/>
          <w:b/>
          <w:sz w:val="32"/>
          <w:szCs w:val="32"/>
        </w:rPr>
        <w:t>有一个国家级重点实验室和三个国家级检测中心，是水声工程专业硕士、博士研究生培养点之一。建所以来，圆满完成多项科研项目和试验任务，获国家和省部级以上科技成果上百项，部分已达到国际先进水平，为我国国防科研事业的发展做出了重要贡献。</w:t>
      </w:r>
    </w:p>
    <w:p>
      <w:pPr>
        <w:pStyle w:val="style0"/>
        <w:snapToGrid w:val="false"/>
        <w:spacing w:lineRule="exact" w:line="600"/>
        <w:ind w:firstLine="643" w:firstLineChars="20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七六Ｏ研究所以“诚信、责任、担当、情怀”为核心价值观，</w:t>
      </w:r>
      <w:r>
        <w:rPr>
          <w:rFonts w:ascii="仿宋" w:eastAsia="仿宋" w:hAnsi="仿宋" w:hint="eastAsia"/>
          <w:b/>
          <w:sz w:val="32"/>
          <w:szCs w:val="32"/>
        </w:rPr>
        <w:t>向着</w:t>
      </w:r>
      <w:r>
        <w:rPr>
          <w:rFonts w:ascii="仿宋" w:eastAsia="仿宋" w:hAnsi="仿宋" w:hint="eastAsia"/>
          <w:b/>
          <w:sz w:val="32"/>
          <w:szCs w:val="32"/>
        </w:rPr>
        <w:t>建</w:t>
      </w:r>
      <w:r>
        <w:rPr>
          <w:rFonts w:ascii="仿宋" w:eastAsia="仿宋" w:hAnsi="仿宋" w:hint="eastAsia"/>
          <w:b/>
          <w:sz w:val="32"/>
          <w:szCs w:val="32"/>
        </w:rPr>
        <w:t>设成为具有世界先进水平的</w:t>
      </w:r>
      <w:r>
        <w:rPr>
          <w:rFonts w:ascii="仿宋" w:eastAsia="仿宋" w:hAnsi="仿宋" w:hint="eastAsia"/>
          <w:b/>
          <w:sz w:val="32"/>
          <w:szCs w:val="32"/>
        </w:rPr>
        <w:t>水中目标</w:t>
      </w:r>
      <w:r>
        <w:rPr>
          <w:rFonts w:ascii="仿宋" w:eastAsia="仿宋" w:hAnsi="仿宋" w:hint="eastAsia"/>
          <w:b/>
          <w:sz w:val="32"/>
          <w:szCs w:val="32"/>
        </w:rPr>
        <w:t>研究</w:t>
      </w:r>
      <w:r>
        <w:rPr>
          <w:rFonts w:ascii="仿宋" w:eastAsia="仿宋" w:hAnsi="仿宋" w:hint="eastAsia"/>
          <w:b/>
          <w:sz w:val="32"/>
          <w:szCs w:val="32"/>
        </w:rPr>
        <w:t>与</w:t>
      </w:r>
      <w:r>
        <w:rPr>
          <w:rFonts w:ascii="仿宋" w:eastAsia="仿宋" w:hAnsi="仿宋" w:hint="eastAsia"/>
          <w:b/>
          <w:sz w:val="32"/>
          <w:szCs w:val="32"/>
        </w:rPr>
        <w:t>试验中心</w:t>
      </w:r>
      <w:r>
        <w:rPr>
          <w:rFonts w:ascii="仿宋" w:eastAsia="仿宋" w:hAnsi="仿宋" w:hint="eastAsia"/>
          <w:b/>
          <w:sz w:val="32"/>
          <w:szCs w:val="32"/>
        </w:rPr>
        <w:t>的目标</w:t>
      </w:r>
      <w:r>
        <w:rPr>
          <w:rFonts w:ascii="仿宋" w:eastAsia="仿宋" w:hAnsi="仿宋" w:hint="eastAsia"/>
          <w:b/>
          <w:sz w:val="32"/>
          <w:szCs w:val="32"/>
        </w:rPr>
        <w:t>奋勇前进，投身到七六〇研究所工作的学生我们将待遇从优，一事一议，</w:t>
      </w:r>
      <w:r>
        <w:rPr>
          <w:rFonts w:ascii="仿宋" w:eastAsia="仿宋" w:hAnsi="仿宋" w:hint="eastAsia"/>
          <w:b/>
          <w:sz w:val="32"/>
          <w:szCs w:val="32"/>
        </w:rPr>
        <w:t>实行协议工资。</w:t>
      </w:r>
    </w:p>
    <w:p>
      <w:pPr>
        <w:pStyle w:val="style0"/>
        <w:snapToGrid w:val="false"/>
        <w:spacing w:lineRule="exact" w:line="600"/>
        <w:ind w:firstLine="643" w:firstLineChars="20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竭诚欢迎愿意投身国防科研事业的有识之士到我所工作</w:t>
      </w:r>
      <w:r>
        <w:rPr>
          <w:rFonts w:ascii="仿宋" w:eastAsia="仿宋" w:hAnsi="仿宋" w:hint="eastAsia"/>
          <w:b/>
          <w:sz w:val="32"/>
          <w:szCs w:val="32"/>
        </w:rPr>
        <w:t>！</w:t>
      </w:r>
    </w:p>
    <w:p>
      <w:pPr>
        <w:pStyle w:val="style0"/>
        <w:snapToGrid w:val="false"/>
        <w:spacing w:lineRule="exact" w:line="500"/>
        <w:jc w:val="center"/>
        <w:rPr>
          <w:rFonts w:ascii="仿宋_GB2312" w:eastAsia="仿宋_GB2312"/>
          <w:b/>
          <w:sz w:val="40"/>
          <w:szCs w:val="32"/>
        </w:rPr>
      </w:pPr>
    </w:p>
    <w:p>
      <w:pPr>
        <w:pStyle w:val="style0"/>
        <w:snapToGrid w:val="false"/>
        <w:spacing w:lineRule="exact" w:line="500"/>
        <w:rPr>
          <w:rFonts w:ascii="仿宋_GB2312" w:eastAsia="仿宋_GB2312"/>
          <w:b/>
          <w:sz w:val="40"/>
          <w:szCs w:val="32"/>
        </w:rPr>
      </w:pPr>
    </w:p>
    <w:p>
      <w:pPr>
        <w:pStyle w:val="style0"/>
        <w:snapToGrid w:val="false"/>
        <w:spacing w:lineRule="exact" w:line="500"/>
        <w:jc w:val="center"/>
        <w:rPr>
          <w:rFonts w:ascii="仿宋" w:eastAsia="仿宋" w:hAnsi="仿宋"/>
          <w:b/>
          <w:sz w:val="40"/>
          <w:szCs w:val="32"/>
        </w:rPr>
      </w:pPr>
      <w:r>
        <w:rPr>
          <w:rFonts w:ascii="仿宋" w:eastAsia="仿宋" w:hAnsi="仿宋" w:hint="eastAsia"/>
          <w:b/>
          <w:sz w:val="40"/>
          <w:szCs w:val="32"/>
        </w:rPr>
        <w:t>招聘信息需求</w:t>
      </w:r>
    </w:p>
    <w:tbl>
      <w:tblPr>
        <w:tblpPr w:leftFromText="180" w:rightFromText="180" w:topFromText="0" w:bottomFromText="0" w:vertAnchor="text" w:horzAnchor="margin" w:tblpXSpec="center" w:tblpY="258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753"/>
        <w:gridCol w:w="1208"/>
        <w:gridCol w:w="1134"/>
        <w:gridCol w:w="1156"/>
      </w:tblGrid>
      <w:tr>
        <w:trPr>
          <w:trHeight w:val="699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需求</w:t>
            </w:r>
          </w:p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/>
        <w:trPr>
          <w:trHeight w:val="564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科研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水声工程、电子信息科学与技术、信号与信息处理、、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水声物理、声学、海洋声学、物理海洋学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、船舶与海洋工程、地球探测与信息技术、测控技术与仪器、模式识别、软件工程、自动化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硕士及</w:t>
            </w:r>
          </w:p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6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default"/>
                <w:b/>
                <w:kern w:val="0"/>
                <w:sz w:val="24"/>
                <w:szCs w:val="24"/>
                <w:lang w:val="en-US"/>
              </w:rPr>
              <w:t>项目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检测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机械振动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声学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电子信息工程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、信号处理、海洋物理等相关专业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本科及</w:t>
            </w:r>
          </w:p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62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中文类专业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本科及</w:t>
            </w:r>
          </w:p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62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档案管理专业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本科及</w:t>
            </w:r>
          </w:p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671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法律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本科及</w:t>
            </w:r>
          </w:p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671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 xml:space="preserve">法律  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法律专业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本科及 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671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审计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审计、会计相关专业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本科及 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671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系统管理员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计算机、电子工程相关专业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9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水声工程、水声物理、电子工程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9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  <w:t>试验管理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航海或轮机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687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安全管理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11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项目管理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船舶相关专业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025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船员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船舶驾驶、轮机管理、船舶电气</w:t>
            </w: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spacing w:lineRule="atLeast" w:line="240"/>
              <w:jc w:val="center"/>
              <w:rPr>
                <w:rFonts w:ascii="仿宋" w:cs="宋体" w:eastAsia="仿宋" w:hAnsi="仿宋"/>
                <w:b/>
                <w:kern w:val="0"/>
                <w:sz w:val="24"/>
                <w:szCs w:val="24"/>
              </w:rPr>
            </w:pPr>
          </w:p>
        </w:tc>
      </w:tr>
    </w:tbl>
    <w:p>
      <w:pPr>
        <w:pStyle w:val="style0"/>
        <w:widowControl/>
        <w:spacing w:lineRule="exact" w:line="500"/>
        <w:ind w:firstLine="800" w:firstLineChars="25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12065</wp:posOffset>
            </wp:positionH>
            <wp:positionV relativeFrom="paragraph">
              <wp:posOffset>7420610</wp:posOffset>
            </wp:positionV>
            <wp:extent cx="5953125" cy="1847849"/>
            <wp:effectExtent l="19050" t="0" r="9525" b="0"/>
            <wp:wrapNone/>
            <wp:docPr id="1027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53125" cy="18478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" w:eastAsia="仿宋" w:hAnsi="仿宋" w:hint="eastAsia"/>
          <w:b/>
          <w:sz w:val="32"/>
          <w:szCs w:val="32"/>
        </w:rPr>
        <w:t>招聘邮箱】</w:t>
      </w:r>
      <w:r>
        <w:rPr/>
        <w:fldChar w:fldCharType="begin"/>
      </w:r>
      <w:r>
        <w:instrText xml:space="preserve"> HYPERLINK "mailto:csic760hr@163.com" </w:instrText>
      </w:r>
      <w:r>
        <w:rPr/>
        <w:fldChar w:fldCharType="separate"/>
      </w:r>
      <w:r>
        <w:rPr>
          <w:rFonts w:ascii="仿宋" w:eastAsia="仿宋" w:hAnsi="仿宋" w:hint="eastAsia"/>
          <w:b/>
          <w:sz w:val="32"/>
          <w:szCs w:val="32"/>
        </w:rPr>
        <w:t>csic760hr@163.com</w:t>
      </w:r>
      <w:r>
        <w:rPr/>
        <w:fldChar w:fldCharType="end"/>
      </w:r>
    </w:p>
    <w:p>
      <w:pPr>
        <w:pStyle w:val="style0"/>
        <w:widowControl/>
        <w:spacing w:lineRule="exact" w:line="500"/>
        <w:ind w:firstLine="790" w:firstLineChars="24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【工作地点】大连市中山区滨海街16号</w:t>
      </w:r>
    </w:p>
    <w:p>
      <w:pPr>
        <w:pStyle w:val="style0"/>
        <w:widowControl/>
        <w:spacing w:lineRule="exact" w:line="500"/>
        <w:ind w:firstLine="790" w:firstLineChars="24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【联系方式】张彦所长、秦老师、祝老师</w:t>
      </w:r>
      <w:r>
        <w:rPr>
          <w:rFonts w:ascii="仿宋" w:eastAsia="仿宋" w:hAnsi="仿宋" w:hint="eastAsia"/>
          <w:b/>
          <w:sz w:val="32"/>
          <w:szCs w:val="32"/>
        </w:rPr>
        <w:t>、于老师</w:t>
      </w:r>
    </w:p>
    <w:bookmarkStart w:id="0" w:name="_GoBack"/>
    <w:bookmarkEnd w:id="0"/>
    <w:p>
      <w:pPr>
        <w:pStyle w:val="style0"/>
        <w:widowControl/>
        <w:spacing w:lineRule="exact" w:line="500"/>
        <w:ind w:firstLine="790" w:firstLineChars="24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【联系电话】0411-82677318、82673008</w:t>
      </w:r>
    </w:p>
    <w:sectPr>
      <w:pgSz w:w="11906" w:h="16838" w:orient="portrait"/>
      <w:pgMar w:top="1134" w:right="1134" w:bottom="1134" w:left="136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华文隶书">
    <w:altName w:val="华文隶书"/>
    <w:panose1 w:val="02010800040000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hAnsi="Times New Roman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Times New Roman" w:cs="Times New Roman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Words>813</Words>
  <Pages>2</Pages>
  <Characters>853</Characters>
  <Application>WPS Office</Application>
  <DocSecurity>0</DocSecurity>
  <Paragraphs>103</Paragraphs>
  <ScaleCrop>false</ScaleCrop>
  <Company>760</Company>
  <LinksUpToDate>false</LinksUpToDate>
  <CharactersWithSpaces>858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2019-08-27T06:42:00Z</dcterms:created>
  <dc:creator>于海琳</dc:creator>
  <lastModifiedBy>16th Plus</lastModifiedBy>
  <lastPrinted>2019-08-29T02:08:00Z</lastPrinted>
  <dcterms:modified xsi:type="dcterms:W3CDTF">2019-10-23T04:00:03Z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